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 xml:space="preserve">Периодическое  печатное издание нормативных правовых актов </w:t>
      </w:r>
      <w:proofErr w:type="spellStart"/>
      <w:r>
        <w:t>Усть-Ярульского</w:t>
      </w:r>
      <w:proofErr w:type="spellEnd"/>
      <w:r>
        <w:t xml:space="preserve"> сельсовета, утвержденное решением сессии депутатов </w:t>
      </w:r>
      <w:proofErr w:type="spellStart"/>
      <w:r>
        <w:t>Усть-Ярульского</w:t>
      </w:r>
      <w:proofErr w:type="spellEnd"/>
      <w:r>
        <w:t xml:space="preserve">  сельского Совета   </w:t>
      </w:r>
      <w:proofErr w:type="spellStart"/>
      <w:r>
        <w:t>Ирбейского</w:t>
      </w:r>
      <w:proofErr w:type="spellEnd"/>
      <w:r>
        <w:t xml:space="preserve">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C42C44"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D010E7" w:rsidP="00801C42">
      <w:r>
        <w:rPr>
          <w:noProof/>
        </w:rPr>
        <w:drawing>
          <wp:anchor distT="0" distB="0" distL="114300" distR="114300" simplePos="0" relativeHeight="251662336" behindDoc="0" locked="0" layoutInCell="1" allowOverlap="1" wp14:anchorId="20801695" wp14:editId="6CEF108B">
            <wp:simplePos x="0" y="0"/>
            <wp:positionH relativeFrom="column">
              <wp:posOffset>2694940</wp:posOffset>
            </wp:positionH>
            <wp:positionV relativeFrom="paragraph">
              <wp:posOffset>27940</wp:posOffset>
            </wp:positionV>
            <wp:extent cx="588645" cy="715645"/>
            <wp:effectExtent l="0" t="0" r="1905"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r w:rsidR="00142E2A">
        <w:t>22</w:t>
      </w:r>
      <w:r>
        <w:t>.12</w:t>
      </w:r>
      <w:r w:rsidR="00142E2A">
        <w:t>.2017 № 71</w:t>
      </w:r>
      <w:r w:rsidR="00293334">
        <w:t xml:space="preserve"> (2017</w:t>
      </w:r>
      <w:r w:rsidR="00801C42">
        <w:t xml:space="preserve">) </w:t>
      </w:r>
    </w:p>
    <w:p w:rsidR="006D559D" w:rsidRDefault="006D559D" w:rsidP="00801C42"/>
    <w:p w:rsidR="006D559D" w:rsidRDefault="006D559D" w:rsidP="00801C42"/>
    <w:p w:rsidR="00176B5F" w:rsidRDefault="00176B5F" w:rsidP="007F6FD1">
      <w:pPr>
        <w:rPr>
          <w:rStyle w:val="a6"/>
          <w:b w:val="0"/>
          <w:sz w:val="28"/>
        </w:rPr>
      </w:pPr>
    </w:p>
    <w:p w:rsidR="007F6FD1" w:rsidRDefault="007F6FD1" w:rsidP="00D010E7">
      <w:pPr>
        <w:rPr>
          <w:b/>
          <w:sz w:val="22"/>
          <w:szCs w:val="22"/>
        </w:rPr>
      </w:pP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Усть-Ярульский</w:t>
      </w:r>
      <w:proofErr w:type="spellEnd"/>
      <w:r>
        <w:rPr>
          <w:rFonts w:ascii="Times New Roman" w:hAnsi="Times New Roman"/>
          <w:sz w:val="28"/>
          <w:szCs w:val="28"/>
        </w:rPr>
        <w:t xml:space="preserve"> сельский Совет депутатов</w:t>
      </w:r>
    </w:p>
    <w:p w:rsidR="002504AD" w:rsidRDefault="007F6FD1" w:rsidP="00547A5A">
      <w:pPr>
        <w:pStyle w:val="ae"/>
        <w:jc w:val="center"/>
        <w:rPr>
          <w:rFonts w:ascii="Times New Roman" w:hAnsi="Times New Roman"/>
          <w:sz w:val="28"/>
          <w:szCs w:val="28"/>
        </w:rPr>
      </w:pP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 Красноярского края</w:t>
      </w:r>
    </w:p>
    <w:p w:rsidR="00807F4B" w:rsidRPr="00547A5A" w:rsidRDefault="00807F4B" w:rsidP="00547A5A">
      <w:pPr>
        <w:pStyle w:val="ae"/>
        <w:jc w:val="center"/>
        <w:rPr>
          <w:rFonts w:ascii="Times New Roman" w:hAnsi="Times New Roman"/>
          <w:sz w:val="28"/>
          <w:szCs w:val="28"/>
        </w:rPr>
      </w:pPr>
    </w:p>
    <w:tbl>
      <w:tblPr>
        <w:tblW w:w="11902" w:type="dxa"/>
        <w:tblInd w:w="-360" w:type="dxa"/>
        <w:tblCellMar>
          <w:left w:w="0" w:type="dxa"/>
          <w:right w:w="0" w:type="dxa"/>
        </w:tblCellMar>
        <w:tblLook w:val="0000" w:firstRow="0" w:lastRow="0" w:firstColumn="0" w:lastColumn="0" w:noHBand="0" w:noVBand="0"/>
      </w:tblPr>
      <w:tblGrid>
        <w:gridCol w:w="237"/>
        <w:gridCol w:w="237"/>
        <w:gridCol w:w="237"/>
        <w:gridCol w:w="236"/>
        <w:gridCol w:w="236"/>
        <w:gridCol w:w="236"/>
        <w:gridCol w:w="236"/>
        <w:gridCol w:w="10044"/>
        <w:gridCol w:w="7"/>
        <w:gridCol w:w="7"/>
        <w:gridCol w:w="1712"/>
        <w:gridCol w:w="116"/>
      </w:tblGrid>
      <w:tr w:rsidR="006D62F0" w:rsidRPr="006D62F0" w:rsidTr="00142E2A">
        <w:trPr>
          <w:gridAfter w:val="1"/>
          <w:wAfter w:w="100" w:type="dxa"/>
          <w:trHeight w:val="720"/>
        </w:trPr>
        <w:tc>
          <w:tcPr>
            <w:tcW w:w="11802" w:type="dxa"/>
            <w:gridSpan w:val="11"/>
            <w:tcBorders>
              <w:top w:val="nil"/>
              <w:left w:val="nil"/>
              <w:bottom w:val="nil"/>
              <w:right w:val="nil"/>
            </w:tcBorders>
            <w:noWrap/>
            <w:vAlign w:val="bottom"/>
          </w:tcPr>
          <w:p w:rsidR="00807F4B" w:rsidRPr="00547A5A" w:rsidRDefault="00142E2A" w:rsidP="00142E2A">
            <w:pPr>
              <w:ind w:right="656"/>
              <w:rPr>
                <w:sz w:val="36"/>
                <w:szCs w:val="36"/>
              </w:rPr>
            </w:pPr>
            <w:r>
              <w:rPr>
                <w:sz w:val="36"/>
                <w:szCs w:val="36"/>
              </w:rPr>
              <w:t xml:space="preserve">                                           </w:t>
            </w:r>
            <w:proofErr w:type="gramStart"/>
            <w:r w:rsidR="006D62F0" w:rsidRPr="00547A5A">
              <w:rPr>
                <w:rFonts w:hint="eastAsia"/>
                <w:sz w:val="36"/>
                <w:szCs w:val="36"/>
              </w:rPr>
              <w:t>Р</w:t>
            </w:r>
            <w:proofErr w:type="gramEnd"/>
            <w:r w:rsidR="006D62F0" w:rsidRPr="00547A5A">
              <w:rPr>
                <w:sz w:val="36"/>
                <w:szCs w:val="36"/>
              </w:rPr>
              <w:t xml:space="preserve"> </w:t>
            </w:r>
            <w:r w:rsidR="006D62F0" w:rsidRPr="00547A5A">
              <w:rPr>
                <w:rFonts w:hint="eastAsia"/>
                <w:sz w:val="36"/>
                <w:szCs w:val="36"/>
              </w:rPr>
              <w:t>Е</w:t>
            </w:r>
            <w:r w:rsidR="006D62F0" w:rsidRPr="00547A5A">
              <w:rPr>
                <w:sz w:val="36"/>
                <w:szCs w:val="36"/>
              </w:rPr>
              <w:t xml:space="preserve"> </w:t>
            </w:r>
            <w:r w:rsidR="006D62F0" w:rsidRPr="00547A5A">
              <w:rPr>
                <w:rFonts w:hint="eastAsia"/>
                <w:sz w:val="36"/>
                <w:szCs w:val="36"/>
              </w:rPr>
              <w:t>Ш</w:t>
            </w:r>
            <w:r w:rsidR="006D62F0" w:rsidRPr="00547A5A">
              <w:rPr>
                <w:sz w:val="36"/>
                <w:szCs w:val="36"/>
              </w:rPr>
              <w:t xml:space="preserve"> </w:t>
            </w:r>
            <w:r w:rsidR="006D62F0" w:rsidRPr="00547A5A">
              <w:rPr>
                <w:rFonts w:hint="eastAsia"/>
                <w:sz w:val="36"/>
                <w:szCs w:val="36"/>
              </w:rPr>
              <w:t>Е</w:t>
            </w:r>
            <w:r w:rsidR="006D62F0" w:rsidRPr="00547A5A">
              <w:rPr>
                <w:sz w:val="36"/>
                <w:szCs w:val="36"/>
              </w:rPr>
              <w:t xml:space="preserve"> </w:t>
            </w:r>
            <w:r w:rsidR="006D62F0" w:rsidRPr="00547A5A">
              <w:rPr>
                <w:rFonts w:hint="eastAsia"/>
                <w:sz w:val="36"/>
                <w:szCs w:val="36"/>
              </w:rPr>
              <w:t>Н</w:t>
            </w:r>
            <w:r w:rsidR="006D62F0" w:rsidRPr="00547A5A">
              <w:rPr>
                <w:sz w:val="36"/>
                <w:szCs w:val="36"/>
              </w:rPr>
              <w:t xml:space="preserve"> </w:t>
            </w:r>
            <w:r w:rsidR="006D62F0" w:rsidRPr="00547A5A">
              <w:rPr>
                <w:rFonts w:hint="eastAsia"/>
                <w:sz w:val="36"/>
                <w:szCs w:val="36"/>
              </w:rPr>
              <w:t>И</w:t>
            </w:r>
            <w:r w:rsidR="006D62F0" w:rsidRPr="00547A5A">
              <w:rPr>
                <w:sz w:val="36"/>
                <w:szCs w:val="36"/>
              </w:rPr>
              <w:t xml:space="preserve"> Е</w:t>
            </w:r>
          </w:p>
        </w:tc>
      </w:tr>
      <w:tr w:rsidR="006D62F0" w:rsidRPr="006D62F0" w:rsidTr="00142E2A">
        <w:trPr>
          <w:trHeight w:val="255"/>
        </w:trPr>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8690" w:type="dxa"/>
            <w:gridSpan w:val="3"/>
            <w:tcBorders>
              <w:top w:val="nil"/>
              <w:left w:val="nil"/>
              <w:bottom w:val="nil"/>
              <w:right w:val="nil"/>
            </w:tcBorders>
            <w:noWrap/>
            <w:vAlign w:val="bottom"/>
          </w:tcPr>
          <w:p w:rsidR="006D62F0" w:rsidRPr="006D62F0" w:rsidRDefault="006D62F0" w:rsidP="00D02943">
            <w:pPr>
              <w:ind w:right="1045"/>
              <w:rPr>
                <w:sz w:val="20"/>
                <w:szCs w:val="20"/>
              </w:rPr>
            </w:pPr>
          </w:p>
        </w:tc>
        <w:tc>
          <w:tcPr>
            <w:tcW w:w="1457" w:type="dxa"/>
            <w:tcBorders>
              <w:top w:val="nil"/>
              <w:left w:val="nil"/>
              <w:bottom w:val="nil"/>
              <w:right w:val="nil"/>
            </w:tcBorders>
            <w:noWrap/>
            <w:vAlign w:val="bottom"/>
          </w:tcPr>
          <w:p w:rsidR="006D62F0" w:rsidRPr="006D62F0" w:rsidRDefault="006D62F0" w:rsidP="006D62F0">
            <w:pPr>
              <w:rPr>
                <w:sz w:val="20"/>
                <w:szCs w:val="20"/>
              </w:rPr>
            </w:pPr>
          </w:p>
        </w:tc>
        <w:tc>
          <w:tcPr>
            <w:tcW w:w="100" w:type="dxa"/>
            <w:tcBorders>
              <w:top w:val="nil"/>
              <w:left w:val="nil"/>
              <w:bottom w:val="nil"/>
              <w:right w:val="nil"/>
            </w:tcBorders>
            <w:noWrap/>
            <w:vAlign w:val="bottom"/>
          </w:tcPr>
          <w:p w:rsidR="006D62F0" w:rsidRPr="006D62F0" w:rsidRDefault="006D62F0" w:rsidP="006D62F0">
            <w:pPr>
              <w:rPr>
                <w:sz w:val="20"/>
                <w:szCs w:val="20"/>
              </w:rPr>
            </w:pPr>
          </w:p>
        </w:tc>
      </w:tr>
      <w:tr w:rsidR="00142E2A" w:rsidRPr="00142E2A" w:rsidTr="00142E2A">
        <w:trPr>
          <w:trHeight w:val="375"/>
        </w:trPr>
        <w:tc>
          <w:tcPr>
            <w:tcW w:w="0" w:type="auto"/>
            <w:gridSpan w:val="7"/>
            <w:tcBorders>
              <w:top w:val="nil"/>
              <w:left w:val="nil"/>
              <w:bottom w:val="nil"/>
              <w:right w:val="nil"/>
            </w:tcBorders>
            <w:noWrap/>
            <w:vAlign w:val="center"/>
          </w:tcPr>
          <w:p w:rsidR="00142E2A" w:rsidRPr="00142E2A" w:rsidRDefault="00142E2A" w:rsidP="00142E2A">
            <w:pPr>
              <w:rPr>
                <w:sz w:val="28"/>
                <w:szCs w:val="28"/>
              </w:rPr>
            </w:pPr>
            <w:r w:rsidRPr="00142E2A">
              <w:rPr>
                <w:sz w:val="28"/>
                <w:szCs w:val="28"/>
              </w:rPr>
              <w:t xml:space="preserve">  22.12.2017 г.</w:t>
            </w:r>
          </w:p>
        </w:tc>
        <w:tc>
          <w:tcPr>
            <w:tcW w:w="8628" w:type="dxa"/>
            <w:tcBorders>
              <w:top w:val="nil"/>
              <w:left w:val="nil"/>
              <w:bottom w:val="nil"/>
              <w:right w:val="nil"/>
            </w:tcBorders>
            <w:noWrap/>
            <w:vAlign w:val="center"/>
          </w:tcPr>
          <w:p w:rsidR="00142E2A" w:rsidRPr="00142E2A" w:rsidRDefault="00142E2A" w:rsidP="00142E2A">
            <w:pPr>
              <w:ind w:right="1700"/>
              <w:rPr>
                <w:sz w:val="28"/>
                <w:szCs w:val="28"/>
              </w:rPr>
            </w:pPr>
            <w:r>
              <w:rPr>
                <w:sz w:val="28"/>
                <w:szCs w:val="28"/>
              </w:rPr>
              <w:t xml:space="preserve">                                       </w:t>
            </w:r>
            <w:r w:rsidRPr="00142E2A">
              <w:rPr>
                <w:rFonts w:hint="eastAsia"/>
                <w:sz w:val="28"/>
                <w:szCs w:val="28"/>
              </w:rPr>
              <w:t>с</w:t>
            </w:r>
            <w:r w:rsidRPr="00142E2A">
              <w:rPr>
                <w:sz w:val="28"/>
                <w:szCs w:val="28"/>
              </w:rPr>
              <w:t xml:space="preserve">. </w:t>
            </w:r>
            <w:proofErr w:type="spellStart"/>
            <w:r w:rsidRPr="00142E2A">
              <w:rPr>
                <w:sz w:val="28"/>
                <w:szCs w:val="28"/>
              </w:rPr>
              <w:t>Усть-Яруль</w:t>
            </w:r>
            <w:proofErr w:type="spellEnd"/>
            <w:r>
              <w:rPr>
                <w:sz w:val="28"/>
                <w:szCs w:val="28"/>
              </w:rPr>
              <w:t xml:space="preserve">                                 </w:t>
            </w:r>
            <w:bookmarkStart w:id="0" w:name="_GoBack"/>
            <w:bookmarkEnd w:id="0"/>
            <w:r>
              <w:rPr>
                <w:sz w:val="28"/>
                <w:szCs w:val="28"/>
              </w:rPr>
              <w:t xml:space="preserve">    №69</w:t>
            </w:r>
          </w:p>
        </w:tc>
        <w:tc>
          <w:tcPr>
            <w:tcW w:w="0" w:type="auto"/>
            <w:tcBorders>
              <w:top w:val="nil"/>
              <w:left w:val="nil"/>
              <w:bottom w:val="nil"/>
              <w:right w:val="nil"/>
            </w:tcBorders>
            <w:noWrap/>
            <w:vAlign w:val="center"/>
          </w:tcPr>
          <w:p w:rsidR="00142E2A" w:rsidRPr="00142E2A" w:rsidRDefault="00142E2A" w:rsidP="00142E2A">
            <w:pPr>
              <w:rPr>
                <w:sz w:val="28"/>
                <w:szCs w:val="28"/>
              </w:rPr>
            </w:pPr>
          </w:p>
        </w:tc>
        <w:tc>
          <w:tcPr>
            <w:tcW w:w="0" w:type="auto"/>
            <w:tcBorders>
              <w:top w:val="nil"/>
              <w:left w:val="nil"/>
              <w:bottom w:val="nil"/>
              <w:right w:val="nil"/>
            </w:tcBorders>
            <w:noWrap/>
            <w:vAlign w:val="center"/>
          </w:tcPr>
          <w:p w:rsidR="00142E2A" w:rsidRPr="00142E2A" w:rsidRDefault="00142E2A" w:rsidP="00142E2A">
            <w:pPr>
              <w:rPr>
                <w:sz w:val="28"/>
                <w:szCs w:val="28"/>
              </w:rPr>
            </w:pPr>
          </w:p>
        </w:tc>
        <w:tc>
          <w:tcPr>
            <w:tcW w:w="0" w:type="auto"/>
            <w:gridSpan w:val="2"/>
            <w:tcBorders>
              <w:top w:val="nil"/>
              <w:left w:val="nil"/>
              <w:bottom w:val="nil"/>
              <w:right w:val="nil"/>
            </w:tcBorders>
            <w:noWrap/>
            <w:vAlign w:val="center"/>
          </w:tcPr>
          <w:p w:rsidR="00142E2A" w:rsidRPr="00142E2A" w:rsidRDefault="00142E2A" w:rsidP="00142E2A">
            <w:pPr>
              <w:rPr>
                <w:sz w:val="28"/>
                <w:szCs w:val="28"/>
              </w:rPr>
            </w:pPr>
            <w:r w:rsidRPr="00142E2A">
              <w:rPr>
                <w:rFonts w:hint="eastAsia"/>
                <w:sz w:val="28"/>
                <w:szCs w:val="28"/>
              </w:rPr>
              <w:t>№</w:t>
            </w:r>
            <w:r w:rsidRPr="00142E2A">
              <w:rPr>
                <w:sz w:val="28"/>
                <w:szCs w:val="28"/>
              </w:rPr>
              <w:t xml:space="preserve"> 69</w:t>
            </w:r>
          </w:p>
          <w:p w:rsidR="00142E2A" w:rsidRPr="00142E2A" w:rsidRDefault="00142E2A" w:rsidP="00142E2A">
            <w:pPr>
              <w:rPr>
                <w:rFonts w:ascii="Arial" w:hAnsi="Arial"/>
                <w:sz w:val="20"/>
                <w:szCs w:val="20"/>
              </w:rPr>
            </w:pPr>
          </w:p>
        </w:tc>
      </w:tr>
    </w:tbl>
    <w:p w:rsidR="00142E2A" w:rsidRPr="00142E2A" w:rsidRDefault="00142E2A" w:rsidP="00142E2A">
      <w:pPr>
        <w:rPr>
          <w:bCs/>
          <w:sz w:val="28"/>
          <w:szCs w:val="28"/>
        </w:rPr>
      </w:pPr>
      <w:r w:rsidRPr="00142E2A">
        <w:rPr>
          <w:bCs/>
          <w:sz w:val="28"/>
          <w:szCs w:val="28"/>
        </w:rPr>
        <w:t xml:space="preserve">          «О внесении изменений и дополнений в Решение № 34 от 26.12.2016 года «О сельском  бюджете на 2017 год и плановый период 2018-2019 годов»</w:t>
      </w:r>
    </w:p>
    <w:p w:rsidR="00142E2A" w:rsidRPr="00142E2A" w:rsidRDefault="00142E2A" w:rsidP="00142E2A">
      <w:pPr>
        <w:rPr>
          <w:sz w:val="28"/>
          <w:szCs w:val="28"/>
        </w:rPr>
      </w:pPr>
    </w:p>
    <w:p w:rsidR="00142E2A" w:rsidRPr="00142E2A" w:rsidRDefault="00142E2A" w:rsidP="00142E2A">
      <w:pPr>
        <w:jc w:val="both"/>
        <w:rPr>
          <w:sz w:val="28"/>
          <w:szCs w:val="28"/>
        </w:rPr>
      </w:pPr>
      <w:r w:rsidRPr="00142E2A">
        <w:rPr>
          <w:bCs/>
          <w:sz w:val="28"/>
          <w:szCs w:val="28"/>
        </w:rPr>
        <w:t xml:space="preserve">       </w:t>
      </w:r>
      <w:r w:rsidRPr="00142E2A">
        <w:rPr>
          <w:b/>
          <w:bCs/>
          <w:sz w:val="28"/>
          <w:szCs w:val="28"/>
        </w:rPr>
        <w:t>1. Внести изменения в пункт 1.1 подпункт 1.1.1, 1.1.2 и читать их в новой редакции:</w:t>
      </w:r>
    </w:p>
    <w:p w:rsidR="00142E2A" w:rsidRPr="00142E2A" w:rsidRDefault="00142E2A" w:rsidP="00142E2A">
      <w:pPr>
        <w:ind w:firstLine="540"/>
        <w:jc w:val="both"/>
        <w:rPr>
          <w:sz w:val="28"/>
          <w:szCs w:val="28"/>
        </w:rPr>
      </w:pPr>
      <w:proofErr w:type="gramStart"/>
      <w:r w:rsidRPr="00142E2A">
        <w:rPr>
          <w:sz w:val="28"/>
          <w:szCs w:val="28"/>
        </w:rPr>
        <w:t xml:space="preserve">1.1.1 утвердить  общий объем доходов сельского бюджета в сумме  9088991,20 </w:t>
      </w:r>
      <w:r w:rsidRPr="00142E2A">
        <w:rPr>
          <w:color w:val="FF6600"/>
          <w:sz w:val="28"/>
          <w:szCs w:val="28"/>
        </w:rPr>
        <w:t xml:space="preserve"> </w:t>
      </w:r>
      <w:r w:rsidRPr="00142E2A">
        <w:rPr>
          <w:sz w:val="28"/>
          <w:szCs w:val="28"/>
        </w:rPr>
        <w:t>рублей, в том числе: налоговые и неналоговые доходы  1636471  рублей, районный фонд финансовой поддержки поселения 1475761,00 тыс. рублей, дотации за счет средств субвенции из краевого бюджета 1283800,00 тыс. рублей, дотация на сбалансированность 2825514,00 тыс. рублей,  субвенция на осуществление полномочий первичного воинского учета  64316,00 рублей,  субсидии на обеспечение первичных мер пожарной</w:t>
      </w:r>
      <w:proofErr w:type="gramEnd"/>
      <w:r w:rsidRPr="00142E2A">
        <w:rPr>
          <w:sz w:val="28"/>
          <w:szCs w:val="28"/>
        </w:rPr>
        <w:t xml:space="preserve"> </w:t>
      </w:r>
      <w:proofErr w:type="gramStart"/>
      <w:r w:rsidRPr="00142E2A">
        <w:rPr>
          <w:sz w:val="28"/>
          <w:szCs w:val="28"/>
        </w:rPr>
        <w:t>безопасности  25920,00 рублей, субсидии  на содержание автомобильных дорог общего пользования 150288,00 рублей, субсидии бюджетам муниципальных образований на государственную поддержку комплексного развития муниципальных учреждений культуры 1138164,00 рублей, субсидии на частичное финансирование расходов на региональные выплаты не ниже размера минимальной заработной платы 58437,00 рублей, субсидии на повышение размеров оплаты труда основного и административно-управленческого персонала учреждений культуры 30909,00 рублей, субсидии бюджетам на капитальный</w:t>
      </w:r>
      <w:proofErr w:type="gramEnd"/>
      <w:r w:rsidRPr="00142E2A">
        <w:rPr>
          <w:sz w:val="28"/>
          <w:szCs w:val="28"/>
        </w:rPr>
        <w:t xml:space="preserve"> ремонт и ремонт автомобильных дорог общего пользования местного значения 395711,20 рублей, субвенции бюджетам на выполнение передаваемых полномочий для обеспечения деятельности административных комиссий 3700,00рублей.</w:t>
      </w:r>
    </w:p>
    <w:p w:rsidR="00142E2A" w:rsidRPr="00142E2A" w:rsidRDefault="00142E2A" w:rsidP="00142E2A">
      <w:pPr>
        <w:ind w:firstLine="540"/>
        <w:jc w:val="both"/>
        <w:rPr>
          <w:sz w:val="28"/>
          <w:szCs w:val="28"/>
        </w:rPr>
      </w:pPr>
      <w:r w:rsidRPr="00142E2A">
        <w:rPr>
          <w:sz w:val="28"/>
          <w:szCs w:val="28"/>
        </w:rPr>
        <w:t>1.1.2</w:t>
      </w:r>
      <w:proofErr w:type="gramStart"/>
      <w:r w:rsidRPr="00142E2A">
        <w:rPr>
          <w:sz w:val="28"/>
          <w:szCs w:val="28"/>
        </w:rPr>
        <w:t xml:space="preserve">  У</w:t>
      </w:r>
      <w:proofErr w:type="gramEnd"/>
      <w:r w:rsidRPr="00142E2A">
        <w:rPr>
          <w:sz w:val="28"/>
          <w:szCs w:val="28"/>
        </w:rPr>
        <w:t>твердить объем расходов бюджета в сумме 9134989,78 рублей.</w:t>
      </w:r>
    </w:p>
    <w:p w:rsidR="00142E2A" w:rsidRPr="00142E2A" w:rsidRDefault="00142E2A" w:rsidP="00142E2A">
      <w:pPr>
        <w:ind w:firstLine="540"/>
        <w:jc w:val="both"/>
        <w:rPr>
          <w:sz w:val="28"/>
          <w:szCs w:val="28"/>
        </w:rPr>
      </w:pPr>
      <w:r w:rsidRPr="00142E2A">
        <w:rPr>
          <w:sz w:val="28"/>
          <w:szCs w:val="28"/>
        </w:rPr>
        <w:lastRenderedPageBreak/>
        <w:t>2. Внести изменения в приложения 4,5,6,7 и читать их в новой редакции к настоящему решению.</w:t>
      </w:r>
    </w:p>
    <w:p w:rsidR="00142E2A" w:rsidRPr="00142E2A" w:rsidRDefault="00142E2A" w:rsidP="00142E2A">
      <w:pPr>
        <w:ind w:firstLine="540"/>
        <w:jc w:val="both"/>
        <w:rPr>
          <w:sz w:val="28"/>
          <w:szCs w:val="28"/>
        </w:rPr>
      </w:pPr>
      <w:r w:rsidRPr="00142E2A">
        <w:rPr>
          <w:sz w:val="28"/>
          <w:szCs w:val="28"/>
        </w:rPr>
        <w:t>3.  Настоящее решение подлежит официальному опубликованию в местном издании «</w:t>
      </w:r>
      <w:proofErr w:type="spellStart"/>
      <w:r w:rsidRPr="00142E2A">
        <w:rPr>
          <w:sz w:val="28"/>
          <w:szCs w:val="28"/>
        </w:rPr>
        <w:t>Усть-Ярульский</w:t>
      </w:r>
      <w:proofErr w:type="spellEnd"/>
      <w:r w:rsidRPr="00142E2A">
        <w:rPr>
          <w:sz w:val="28"/>
          <w:szCs w:val="28"/>
        </w:rPr>
        <w:t xml:space="preserve"> вестник» и вступает в силу с момента опубликования.</w:t>
      </w:r>
    </w:p>
    <w:p w:rsidR="00142E2A" w:rsidRPr="00142E2A" w:rsidRDefault="00142E2A" w:rsidP="00142E2A">
      <w:pPr>
        <w:ind w:firstLine="540"/>
        <w:jc w:val="both"/>
        <w:rPr>
          <w:sz w:val="28"/>
          <w:szCs w:val="28"/>
        </w:rPr>
      </w:pPr>
    </w:p>
    <w:p w:rsidR="00142E2A" w:rsidRPr="00142E2A" w:rsidRDefault="00142E2A" w:rsidP="00142E2A">
      <w:pPr>
        <w:rPr>
          <w:sz w:val="28"/>
          <w:szCs w:val="28"/>
        </w:rPr>
      </w:pPr>
    </w:p>
    <w:p w:rsidR="00142E2A" w:rsidRPr="00142E2A" w:rsidRDefault="00142E2A" w:rsidP="00142E2A">
      <w:pPr>
        <w:rPr>
          <w:sz w:val="28"/>
          <w:szCs w:val="28"/>
        </w:rPr>
      </w:pPr>
    </w:p>
    <w:p w:rsidR="00142E2A" w:rsidRPr="00142E2A" w:rsidRDefault="00142E2A" w:rsidP="00142E2A">
      <w:pPr>
        <w:rPr>
          <w:sz w:val="28"/>
          <w:szCs w:val="28"/>
        </w:rPr>
      </w:pPr>
      <w:r w:rsidRPr="00142E2A">
        <w:rPr>
          <w:sz w:val="28"/>
          <w:szCs w:val="28"/>
        </w:rPr>
        <w:t xml:space="preserve">Глава сельсовета                                                           М.Д. </w:t>
      </w:r>
      <w:proofErr w:type="spellStart"/>
      <w:r w:rsidRPr="00142E2A">
        <w:rPr>
          <w:sz w:val="28"/>
          <w:szCs w:val="28"/>
        </w:rPr>
        <w:t>Дезиндорф</w:t>
      </w:r>
      <w:proofErr w:type="spellEnd"/>
      <w:r w:rsidRPr="00142E2A">
        <w:rPr>
          <w:sz w:val="28"/>
          <w:szCs w:val="28"/>
        </w:rPr>
        <w:t xml:space="preserve">                                                                                           </w:t>
      </w:r>
    </w:p>
    <w:p w:rsidR="006D559D" w:rsidRPr="006D559D" w:rsidRDefault="006D559D" w:rsidP="00142E2A">
      <w:pPr>
        <w:jc w:val="both"/>
        <w:rPr>
          <w:sz w:val="20"/>
          <w:szCs w:val="20"/>
        </w:rPr>
      </w:pPr>
    </w:p>
    <w:sectPr w:rsidR="006D559D" w:rsidRPr="006D559D" w:rsidSect="00D010E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F474716"/>
    <w:multiLevelType w:val="hybridMultilevel"/>
    <w:tmpl w:val="513A814E"/>
    <w:lvl w:ilvl="0" w:tplc="3B48B9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BF38AC"/>
    <w:multiLevelType w:val="multilevel"/>
    <w:tmpl w:val="32E29122"/>
    <w:lvl w:ilvl="0">
      <w:start w:val="1"/>
      <w:numFmt w:val="decimal"/>
      <w:lvlText w:val="%1."/>
      <w:lvlJc w:val="left"/>
      <w:pPr>
        <w:ind w:left="2081" w:hanging="1230"/>
      </w:pPr>
      <w:rPr>
        <w:rFonts w:hint="default"/>
      </w:rPr>
    </w:lvl>
    <w:lvl w:ilvl="1">
      <w:start w:val="1"/>
      <w:numFmt w:val="decimal"/>
      <w:isLgl/>
      <w:lvlText w:val="%1.%2."/>
      <w:lvlJc w:val="left"/>
      <w:pPr>
        <w:ind w:left="2801" w:hanging="720"/>
      </w:pPr>
      <w:rPr>
        <w:rFonts w:hint="default"/>
      </w:rPr>
    </w:lvl>
    <w:lvl w:ilvl="2">
      <w:start w:val="1"/>
      <w:numFmt w:val="decimal"/>
      <w:isLgl/>
      <w:lvlText w:val="%1.%2.%3."/>
      <w:lvlJc w:val="left"/>
      <w:pPr>
        <w:ind w:left="4031" w:hanging="720"/>
      </w:pPr>
      <w:rPr>
        <w:rFonts w:hint="default"/>
      </w:rPr>
    </w:lvl>
    <w:lvl w:ilvl="3">
      <w:start w:val="1"/>
      <w:numFmt w:val="decimal"/>
      <w:isLgl/>
      <w:lvlText w:val="%1.%2.%3.%4."/>
      <w:lvlJc w:val="left"/>
      <w:pPr>
        <w:ind w:left="5621" w:hanging="1080"/>
      </w:pPr>
      <w:rPr>
        <w:rFonts w:hint="default"/>
      </w:rPr>
    </w:lvl>
    <w:lvl w:ilvl="4">
      <w:start w:val="1"/>
      <w:numFmt w:val="decimal"/>
      <w:isLgl/>
      <w:lvlText w:val="%1.%2.%3.%4.%5."/>
      <w:lvlJc w:val="left"/>
      <w:pPr>
        <w:ind w:left="6851" w:hanging="1080"/>
      </w:pPr>
      <w:rPr>
        <w:rFonts w:hint="default"/>
      </w:rPr>
    </w:lvl>
    <w:lvl w:ilvl="5">
      <w:start w:val="1"/>
      <w:numFmt w:val="decimal"/>
      <w:isLgl/>
      <w:lvlText w:val="%1.%2.%3.%4.%5.%6."/>
      <w:lvlJc w:val="left"/>
      <w:pPr>
        <w:ind w:left="8441" w:hanging="1440"/>
      </w:pPr>
      <w:rPr>
        <w:rFonts w:hint="default"/>
      </w:rPr>
    </w:lvl>
    <w:lvl w:ilvl="6">
      <w:start w:val="1"/>
      <w:numFmt w:val="decimal"/>
      <w:isLgl/>
      <w:lvlText w:val="%1.%2.%3.%4.%5.%6.%7."/>
      <w:lvlJc w:val="left"/>
      <w:pPr>
        <w:ind w:left="10031" w:hanging="1800"/>
      </w:pPr>
      <w:rPr>
        <w:rFonts w:hint="default"/>
      </w:rPr>
    </w:lvl>
    <w:lvl w:ilvl="7">
      <w:start w:val="1"/>
      <w:numFmt w:val="decimal"/>
      <w:isLgl/>
      <w:lvlText w:val="%1.%2.%3.%4.%5.%6.%7.%8."/>
      <w:lvlJc w:val="left"/>
      <w:pPr>
        <w:ind w:left="11261" w:hanging="1800"/>
      </w:pPr>
      <w:rPr>
        <w:rFonts w:hint="default"/>
      </w:rPr>
    </w:lvl>
    <w:lvl w:ilvl="8">
      <w:start w:val="1"/>
      <w:numFmt w:val="decimal"/>
      <w:isLgl/>
      <w:lvlText w:val="%1.%2.%3.%4.%5.%6.%7.%8.%9."/>
      <w:lvlJc w:val="left"/>
      <w:pPr>
        <w:ind w:left="12851" w:hanging="2160"/>
      </w:pPr>
      <w:rPr>
        <w:rFonts w:hint="default"/>
      </w:rPr>
    </w:lvl>
  </w:abstractNum>
  <w:abstractNum w:abstractNumId="4">
    <w:nsid w:val="31AC5B96"/>
    <w:multiLevelType w:val="multilevel"/>
    <w:tmpl w:val="A536BC40"/>
    <w:lvl w:ilvl="0">
      <w:start w:val="3"/>
      <w:numFmt w:val="decimal"/>
      <w:lvlText w:val="%1."/>
      <w:lvlJc w:val="left"/>
      <w:pPr>
        <w:ind w:left="450" w:hanging="450"/>
      </w:pPr>
      <w:rPr>
        <w:rFonts w:hint="default"/>
      </w:rPr>
    </w:lvl>
    <w:lvl w:ilvl="1">
      <w:start w:val="2"/>
      <w:numFmt w:val="decimal"/>
      <w:lvlText w:val="%1.%2."/>
      <w:lvlJc w:val="left"/>
      <w:pPr>
        <w:ind w:left="2801" w:hanging="720"/>
      </w:pPr>
      <w:rPr>
        <w:rFonts w:hint="default"/>
      </w:rPr>
    </w:lvl>
    <w:lvl w:ilvl="2">
      <w:start w:val="1"/>
      <w:numFmt w:val="decimal"/>
      <w:lvlText w:val="%1.%2.%3."/>
      <w:lvlJc w:val="left"/>
      <w:pPr>
        <w:ind w:left="4882" w:hanging="720"/>
      </w:pPr>
      <w:rPr>
        <w:rFonts w:hint="default"/>
      </w:rPr>
    </w:lvl>
    <w:lvl w:ilvl="3">
      <w:start w:val="1"/>
      <w:numFmt w:val="decimal"/>
      <w:lvlText w:val="%1.%2.%3.%4."/>
      <w:lvlJc w:val="left"/>
      <w:pPr>
        <w:ind w:left="7323" w:hanging="1080"/>
      </w:pPr>
      <w:rPr>
        <w:rFonts w:hint="default"/>
      </w:rPr>
    </w:lvl>
    <w:lvl w:ilvl="4">
      <w:start w:val="1"/>
      <w:numFmt w:val="decimal"/>
      <w:lvlText w:val="%1.%2.%3.%4.%5."/>
      <w:lvlJc w:val="left"/>
      <w:pPr>
        <w:ind w:left="9404" w:hanging="1080"/>
      </w:pPr>
      <w:rPr>
        <w:rFonts w:hint="default"/>
      </w:rPr>
    </w:lvl>
    <w:lvl w:ilvl="5">
      <w:start w:val="1"/>
      <w:numFmt w:val="decimal"/>
      <w:lvlText w:val="%1.%2.%3.%4.%5.%6."/>
      <w:lvlJc w:val="left"/>
      <w:pPr>
        <w:ind w:left="11845" w:hanging="1440"/>
      </w:pPr>
      <w:rPr>
        <w:rFonts w:hint="default"/>
      </w:rPr>
    </w:lvl>
    <w:lvl w:ilvl="6">
      <w:start w:val="1"/>
      <w:numFmt w:val="decimal"/>
      <w:lvlText w:val="%1.%2.%3.%4.%5.%6.%7."/>
      <w:lvlJc w:val="left"/>
      <w:pPr>
        <w:ind w:left="14286" w:hanging="1800"/>
      </w:pPr>
      <w:rPr>
        <w:rFonts w:hint="default"/>
      </w:rPr>
    </w:lvl>
    <w:lvl w:ilvl="7">
      <w:start w:val="1"/>
      <w:numFmt w:val="decimal"/>
      <w:lvlText w:val="%1.%2.%3.%4.%5.%6.%7.%8."/>
      <w:lvlJc w:val="left"/>
      <w:pPr>
        <w:ind w:left="16367" w:hanging="1800"/>
      </w:pPr>
      <w:rPr>
        <w:rFonts w:hint="default"/>
      </w:rPr>
    </w:lvl>
    <w:lvl w:ilvl="8">
      <w:start w:val="1"/>
      <w:numFmt w:val="decimal"/>
      <w:lvlText w:val="%1.%2.%3.%4.%5.%6.%7.%8.%9."/>
      <w:lvlJc w:val="left"/>
      <w:pPr>
        <w:ind w:left="18808" w:hanging="2160"/>
      </w:pPr>
      <w:rPr>
        <w:rFonts w:hint="default"/>
      </w:rPr>
    </w:lvl>
  </w:abstractNum>
  <w:abstractNum w:abstractNumId="5">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E4B9F"/>
    <w:rsid w:val="00120D1C"/>
    <w:rsid w:val="0013343C"/>
    <w:rsid w:val="00142E2A"/>
    <w:rsid w:val="00176B5F"/>
    <w:rsid w:val="001E1317"/>
    <w:rsid w:val="001E1FEC"/>
    <w:rsid w:val="00215C86"/>
    <w:rsid w:val="00217422"/>
    <w:rsid w:val="002266C8"/>
    <w:rsid w:val="002504AD"/>
    <w:rsid w:val="00266434"/>
    <w:rsid w:val="00282E80"/>
    <w:rsid w:val="00285257"/>
    <w:rsid w:val="00293334"/>
    <w:rsid w:val="002C4A27"/>
    <w:rsid w:val="002D4AB5"/>
    <w:rsid w:val="0031023A"/>
    <w:rsid w:val="00321847"/>
    <w:rsid w:val="0033656D"/>
    <w:rsid w:val="0034256A"/>
    <w:rsid w:val="00344F65"/>
    <w:rsid w:val="00365F11"/>
    <w:rsid w:val="00374ECF"/>
    <w:rsid w:val="003D32A7"/>
    <w:rsid w:val="003D5095"/>
    <w:rsid w:val="003F165D"/>
    <w:rsid w:val="00413BB5"/>
    <w:rsid w:val="00475197"/>
    <w:rsid w:val="004D2A3D"/>
    <w:rsid w:val="005159CC"/>
    <w:rsid w:val="00547A5A"/>
    <w:rsid w:val="00555C1B"/>
    <w:rsid w:val="0058210F"/>
    <w:rsid w:val="00584F02"/>
    <w:rsid w:val="00597D09"/>
    <w:rsid w:val="006427A2"/>
    <w:rsid w:val="00674D0A"/>
    <w:rsid w:val="006D559D"/>
    <w:rsid w:val="006D62F0"/>
    <w:rsid w:val="0075115C"/>
    <w:rsid w:val="00781437"/>
    <w:rsid w:val="007A0B3F"/>
    <w:rsid w:val="007A1E8A"/>
    <w:rsid w:val="007A1F68"/>
    <w:rsid w:val="007F6FD1"/>
    <w:rsid w:val="00801C42"/>
    <w:rsid w:val="008065BC"/>
    <w:rsid w:val="00807F4B"/>
    <w:rsid w:val="00833D2B"/>
    <w:rsid w:val="009273CE"/>
    <w:rsid w:val="00955D15"/>
    <w:rsid w:val="0095738B"/>
    <w:rsid w:val="009A4D7C"/>
    <w:rsid w:val="009B1A29"/>
    <w:rsid w:val="009B1ACE"/>
    <w:rsid w:val="009C36BB"/>
    <w:rsid w:val="009D7489"/>
    <w:rsid w:val="009E52F7"/>
    <w:rsid w:val="009F023D"/>
    <w:rsid w:val="00A334BC"/>
    <w:rsid w:val="00AB1F6C"/>
    <w:rsid w:val="00AF2609"/>
    <w:rsid w:val="00B11832"/>
    <w:rsid w:val="00B53FFD"/>
    <w:rsid w:val="00B62E9F"/>
    <w:rsid w:val="00BA2EBF"/>
    <w:rsid w:val="00C13FF8"/>
    <w:rsid w:val="00C21623"/>
    <w:rsid w:val="00C34F20"/>
    <w:rsid w:val="00C42C44"/>
    <w:rsid w:val="00C5122C"/>
    <w:rsid w:val="00C700A9"/>
    <w:rsid w:val="00CA4E03"/>
    <w:rsid w:val="00D010E7"/>
    <w:rsid w:val="00D02943"/>
    <w:rsid w:val="00D502FC"/>
    <w:rsid w:val="00D5732B"/>
    <w:rsid w:val="00D629BD"/>
    <w:rsid w:val="00D6636A"/>
    <w:rsid w:val="00D862ED"/>
    <w:rsid w:val="00DA0FEF"/>
    <w:rsid w:val="00DB78F0"/>
    <w:rsid w:val="00DE211E"/>
    <w:rsid w:val="00E1110F"/>
    <w:rsid w:val="00E1234A"/>
    <w:rsid w:val="00E466FA"/>
    <w:rsid w:val="00EA32C6"/>
    <w:rsid w:val="00EE0FF9"/>
    <w:rsid w:val="00F26394"/>
    <w:rsid w:val="00F572BA"/>
    <w:rsid w:val="00F724FB"/>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3</cp:revision>
  <dcterms:created xsi:type="dcterms:W3CDTF">2018-01-19T03:01:00Z</dcterms:created>
  <dcterms:modified xsi:type="dcterms:W3CDTF">2018-01-19T03:20:00Z</dcterms:modified>
</cp:coreProperties>
</file>